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4"/>
        <w:gridCol w:w="7354"/>
      </w:tblGrid>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pStyle w:val="Heading1"/>
              <w:rPr>
                <w:rFonts w:ascii="Times New Roman" w:hAnsi="Times New Roman"/>
                <w:sz w:val="18"/>
                <w:szCs w:val="18"/>
              </w:rPr>
            </w:pPr>
            <w:r w:rsidRPr="000D4799">
              <w:rPr>
                <w:rFonts w:ascii="Times New Roman" w:hAnsi="Times New Roman"/>
                <w:sz w:val="18"/>
                <w:szCs w:val="18"/>
              </w:rPr>
              <w:t>Subject</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sz w:val="18"/>
                <w:szCs w:val="18"/>
              </w:rPr>
            </w:pPr>
            <w:r w:rsidRPr="000D4799">
              <w:rPr>
                <w:rFonts w:ascii="Times New Roman" w:hAnsi="Times New Roman"/>
                <w:b/>
                <w:sz w:val="18"/>
                <w:szCs w:val="18"/>
              </w:rPr>
              <w:t>HEALTH  AND SOCIAL LAW</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Study program</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sz w:val="18"/>
                <w:szCs w:val="18"/>
              </w:rPr>
            </w:pPr>
            <w:r w:rsidRPr="000D4799">
              <w:rPr>
                <w:rFonts w:ascii="Times New Roman" w:hAnsi="Times New Roman"/>
                <w:b/>
                <w:sz w:val="18"/>
                <w:szCs w:val="18"/>
              </w:rPr>
              <w:t>Three year professional studies for graduate medical nurse/technician</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Code:</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sz w:val="18"/>
                <w:szCs w:val="18"/>
              </w:rPr>
            </w:pPr>
            <w:r w:rsidRPr="000D4799">
              <w:rPr>
                <w:rFonts w:ascii="Times New Roman" w:hAnsi="Times New Roman"/>
                <w:sz w:val="18"/>
                <w:szCs w:val="18"/>
              </w:rPr>
              <w:t>SMN/T-224</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Study year:</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sz w:val="18"/>
                <w:szCs w:val="18"/>
              </w:rPr>
            </w:pPr>
            <w:r w:rsidRPr="000D4799">
              <w:rPr>
                <w:rFonts w:ascii="Times New Roman" w:hAnsi="Times New Roman"/>
                <w:sz w:val="18"/>
                <w:szCs w:val="18"/>
              </w:rPr>
              <w:t>Second</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Semester</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sz w:val="18"/>
                <w:szCs w:val="18"/>
              </w:rPr>
            </w:pPr>
            <w:r w:rsidRPr="000D4799">
              <w:rPr>
                <w:rFonts w:ascii="Times New Roman" w:hAnsi="Times New Roman"/>
                <w:sz w:val="18"/>
                <w:szCs w:val="18"/>
              </w:rPr>
              <w:t xml:space="preserve">Fourth </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 xml:space="preserve">Total no. of hours </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sz w:val="18"/>
                <w:szCs w:val="18"/>
              </w:rPr>
            </w:pPr>
            <w:r w:rsidRPr="000D4799">
              <w:rPr>
                <w:rFonts w:ascii="Times New Roman" w:hAnsi="Times New Roman"/>
                <w:sz w:val="18"/>
                <w:szCs w:val="18"/>
              </w:rPr>
              <w:t>20</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Credits</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sz w:val="18"/>
                <w:szCs w:val="18"/>
              </w:rPr>
            </w:pPr>
            <w:r w:rsidRPr="000D4799">
              <w:rPr>
                <w:rFonts w:ascii="Times New Roman" w:hAnsi="Times New Roman"/>
                <w:sz w:val="18"/>
                <w:szCs w:val="18"/>
              </w:rPr>
              <w:t>1</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Type of the subject</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sz w:val="18"/>
                <w:szCs w:val="18"/>
              </w:rPr>
            </w:pPr>
            <w:r w:rsidRPr="000D4799">
              <w:rPr>
                <w:rFonts w:ascii="Times New Roman" w:hAnsi="Times New Roman"/>
                <w:sz w:val="18"/>
                <w:szCs w:val="18"/>
              </w:rPr>
              <w:t>Mandatory</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Preconditions</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sz w:val="18"/>
                <w:szCs w:val="18"/>
              </w:rPr>
            </w:pPr>
            <w:r w:rsidRPr="000D4799">
              <w:rPr>
                <w:rFonts w:ascii="Times New Roman" w:hAnsi="Times New Roman"/>
                <w:sz w:val="18"/>
                <w:szCs w:val="18"/>
              </w:rPr>
              <w:t>Fulfilled criteria for enrollment to second study year</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Conducted by:</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sz w:val="18"/>
                <w:szCs w:val="18"/>
              </w:rPr>
            </w:pPr>
            <w:r w:rsidRPr="000D4799">
              <w:rPr>
                <w:rFonts w:ascii="Times New Roman" w:hAnsi="Times New Roman"/>
                <w:sz w:val="18"/>
                <w:szCs w:val="18"/>
              </w:rPr>
              <w:t>Department of Social Medicine</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Responsible teacher</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sz w:val="18"/>
                <w:szCs w:val="18"/>
              </w:rPr>
            </w:pPr>
            <w:r w:rsidRPr="000D4799">
              <w:rPr>
                <w:rFonts w:ascii="Times New Roman" w:hAnsi="Times New Roman"/>
                <w:sz w:val="18"/>
                <w:szCs w:val="18"/>
              </w:rPr>
              <w:t xml:space="preserve">Prof. Dr. </w:t>
            </w:r>
            <w:proofErr w:type="spellStart"/>
            <w:r w:rsidRPr="000D4799">
              <w:rPr>
                <w:rFonts w:ascii="Times New Roman" w:hAnsi="Times New Roman"/>
                <w:sz w:val="18"/>
                <w:szCs w:val="18"/>
              </w:rPr>
              <w:t>Doncho</w:t>
            </w:r>
            <w:proofErr w:type="spellEnd"/>
            <w:r w:rsidRPr="000D4799">
              <w:rPr>
                <w:rFonts w:ascii="Times New Roman" w:hAnsi="Times New Roman"/>
                <w:sz w:val="18"/>
                <w:szCs w:val="18"/>
              </w:rPr>
              <w:t xml:space="preserve"> </w:t>
            </w:r>
            <w:proofErr w:type="spellStart"/>
            <w:r w:rsidRPr="000D4799">
              <w:rPr>
                <w:rFonts w:ascii="Times New Roman" w:hAnsi="Times New Roman"/>
                <w:sz w:val="18"/>
                <w:szCs w:val="18"/>
              </w:rPr>
              <w:t>Donev</w:t>
            </w:r>
            <w:proofErr w:type="spellEnd"/>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Address:</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sz w:val="18"/>
                <w:szCs w:val="18"/>
                <w:lang w:val="it-IT"/>
              </w:rPr>
            </w:pPr>
            <w:r w:rsidRPr="000D4799">
              <w:rPr>
                <w:rFonts w:ascii="Times New Roman" w:hAnsi="Times New Roman"/>
                <w:sz w:val="18"/>
                <w:szCs w:val="18"/>
              </w:rPr>
              <w:t xml:space="preserve">Institute of Social Medicine, Institutes, Medical Faculty, 50 </w:t>
            </w:r>
            <w:proofErr w:type="spellStart"/>
            <w:r w:rsidRPr="000D4799">
              <w:rPr>
                <w:rFonts w:ascii="Times New Roman" w:hAnsi="Times New Roman"/>
                <w:sz w:val="18"/>
                <w:szCs w:val="18"/>
              </w:rPr>
              <w:t>Divizija</w:t>
            </w:r>
            <w:proofErr w:type="spellEnd"/>
            <w:r w:rsidRPr="000D4799">
              <w:rPr>
                <w:rFonts w:ascii="Times New Roman" w:hAnsi="Times New Roman"/>
                <w:sz w:val="18"/>
                <w:szCs w:val="18"/>
              </w:rPr>
              <w:t xml:space="preserve"> br. 6, 1000 Skopje, Tel. +389 2 31 47  056 and 3239 214, </w:t>
            </w:r>
            <w:r w:rsidRPr="000D4799">
              <w:rPr>
                <w:rFonts w:ascii="Times New Roman" w:hAnsi="Times New Roman"/>
                <w:color w:val="000000"/>
                <w:sz w:val="18"/>
                <w:szCs w:val="18"/>
              </w:rPr>
              <w:t xml:space="preserve"> e-mail: ddonev@medf.ukim.edu.mk</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Key words</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sz w:val="18"/>
                <w:szCs w:val="18"/>
              </w:rPr>
            </w:pPr>
            <w:r w:rsidRPr="000D4799">
              <w:rPr>
                <w:rFonts w:ascii="Times New Roman" w:hAnsi="Times New Roman"/>
                <w:sz w:val="18"/>
                <w:szCs w:val="18"/>
              </w:rPr>
              <w:t>Studies for medical nurses and technicians, basic subjects, health and social law</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Aims of the study</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numPr>
                <w:ilvl w:val="0"/>
                <w:numId w:val="1"/>
              </w:numPr>
              <w:tabs>
                <w:tab w:val="clear" w:pos="720"/>
              </w:tabs>
              <w:ind w:left="292" w:hanging="292"/>
              <w:rPr>
                <w:rFonts w:ascii="Times New Roman" w:hAnsi="Times New Roman"/>
                <w:sz w:val="18"/>
                <w:szCs w:val="18"/>
              </w:rPr>
            </w:pPr>
            <w:r w:rsidRPr="000D4799">
              <w:rPr>
                <w:rFonts w:ascii="Times New Roman" w:hAnsi="Times New Roman"/>
                <w:sz w:val="18"/>
                <w:szCs w:val="18"/>
              </w:rPr>
              <w:t>To become familiar with the basic concepts of law on health care and social protection</w:t>
            </w:r>
          </w:p>
          <w:p w:rsidR="000D4799" w:rsidRPr="000D4799" w:rsidRDefault="000D4799" w:rsidP="00116787">
            <w:pPr>
              <w:numPr>
                <w:ilvl w:val="0"/>
                <w:numId w:val="1"/>
              </w:numPr>
              <w:tabs>
                <w:tab w:val="clear" w:pos="720"/>
              </w:tabs>
              <w:ind w:left="292" w:hanging="292"/>
              <w:rPr>
                <w:rFonts w:ascii="Times New Roman" w:hAnsi="Times New Roman"/>
                <w:sz w:val="18"/>
                <w:szCs w:val="18"/>
              </w:rPr>
            </w:pPr>
            <w:r w:rsidRPr="000D4799">
              <w:rPr>
                <w:rFonts w:ascii="Times New Roman" w:hAnsi="Times New Roman"/>
                <w:sz w:val="18"/>
                <w:szCs w:val="18"/>
              </w:rPr>
              <w:t>To become familiar with the institutions of health and social regulations</w:t>
            </w:r>
          </w:p>
          <w:p w:rsidR="000D4799" w:rsidRPr="000D4799" w:rsidRDefault="000D4799" w:rsidP="00116787">
            <w:pPr>
              <w:numPr>
                <w:ilvl w:val="0"/>
                <w:numId w:val="1"/>
              </w:numPr>
              <w:tabs>
                <w:tab w:val="clear" w:pos="720"/>
              </w:tabs>
              <w:ind w:left="292" w:hanging="292"/>
              <w:rPr>
                <w:rFonts w:ascii="Times New Roman" w:hAnsi="Times New Roman"/>
                <w:sz w:val="18"/>
                <w:szCs w:val="18"/>
              </w:rPr>
            </w:pPr>
            <w:r w:rsidRPr="000D4799">
              <w:rPr>
                <w:rFonts w:ascii="Times New Roman" w:hAnsi="Times New Roman"/>
                <w:sz w:val="18"/>
                <w:szCs w:val="18"/>
              </w:rPr>
              <w:t xml:space="preserve">To become familiar with the national programs for health and social protection </w:t>
            </w:r>
          </w:p>
          <w:p w:rsidR="000D4799" w:rsidRPr="000D4799" w:rsidRDefault="000D4799" w:rsidP="00116787">
            <w:pPr>
              <w:numPr>
                <w:ilvl w:val="0"/>
                <w:numId w:val="1"/>
              </w:numPr>
              <w:tabs>
                <w:tab w:val="clear" w:pos="720"/>
              </w:tabs>
              <w:ind w:left="292" w:hanging="292"/>
              <w:rPr>
                <w:rFonts w:ascii="Times New Roman" w:hAnsi="Times New Roman"/>
                <w:sz w:val="18"/>
                <w:szCs w:val="18"/>
              </w:rPr>
            </w:pPr>
            <w:r w:rsidRPr="000D4799">
              <w:rPr>
                <w:rFonts w:ascii="Times New Roman" w:hAnsi="Times New Roman"/>
                <w:sz w:val="18"/>
                <w:szCs w:val="18"/>
              </w:rPr>
              <w:t>To become familiar with the regulation in the domain of protection of the right of patients to treatment and care</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Brief content</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sz w:val="18"/>
                <w:szCs w:val="18"/>
              </w:rPr>
            </w:pPr>
            <w:r w:rsidRPr="000D4799">
              <w:rPr>
                <w:rFonts w:ascii="Times New Roman" w:hAnsi="Times New Roman"/>
                <w:b/>
                <w:sz w:val="18"/>
                <w:szCs w:val="18"/>
              </w:rPr>
              <w:t>Theoretical course:</w:t>
            </w:r>
          </w:p>
          <w:p w:rsidR="000D4799" w:rsidRPr="000D4799" w:rsidRDefault="000D4799" w:rsidP="000D4799">
            <w:pPr>
              <w:numPr>
                <w:ilvl w:val="0"/>
                <w:numId w:val="2"/>
              </w:numPr>
              <w:tabs>
                <w:tab w:val="clear" w:pos="720"/>
                <w:tab w:val="num" w:pos="0"/>
              </w:tabs>
              <w:ind w:left="292" w:hanging="292"/>
              <w:rPr>
                <w:rFonts w:ascii="Times New Roman" w:hAnsi="Times New Roman"/>
                <w:sz w:val="18"/>
                <w:szCs w:val="18"/>
              </w:rPr>
            </w:pPr>
            <w:r w:rsidRPr="000D4799">
              <w:rPr>
                <w:rFonts w:ascii="Times New Roman" w:hAnsi="Times New Roman"/>
                <w:sz w:val="18"/>
                <w:szCs w:val="18"/>
              </w:rPr>
              <w:t>Concept, characteristics and importance of law on health care and social protection law</w:t>
            </w:r>
          </w:p>
          <w:p w:rsidR="000D4799" w:rsidRPr="000D4799" w:rsidRDefault="000D4799" w:rsidP="000D4799">
            <w:pPr>
              <w:numPr>
                <w:ilvl w:val="0"/>
                <w:numId w:val="2"/>
              </w:numPr>
              <w:tabs>
                <w:tab w:val="clear" w:pos="720"/>
                <w:tab w:val="num" w:pos="0"/>
              </w:tabs>
              <w:ind w:left="292" w:hanging="292"/>
              <w:rPr>
                <w:rFonts w:ascii="Times New Roman" w:hAnsi="Times New Roman"/>
                <w:sz w:val="18"/>
                <w:szCs w:val="18"/>
              </w:rPr>
            </w:pPr>
            <w:r w:rsidRPr="000D4799">
              <w:rPr>
                <w:rFonts w:ascii="Times New Roman" w:hAnsi="Times New Roman"/>
                <w:sz w:val="18"/>
                <w:szCs w:val="18"/>
              </w:rPr>
              <w:t>Survey of the Law system and bylaws acts</w:t>
            </w:r>
          </w:p>
          <w:p w:rsidR="000D4799" w:rsidRPr="000D4799" w:rsidRDefault="000D4799" w:rsidP="000D4799">
            <w:pPr>
              <w:numPr>
                <w:ilvl w:val="0"/>
                <w:numId w:val="2"/>
              </w:numPr>
              <w:tabs>
                <w:tab w:val="clear" w:pos="720"/>
                <w:tab w:val="num" w:pos="0"/>
              </w:tabs>
              <w:ind w:left="292" w:hanging="292"/>
              <w:rPr>
                <w:rFonts w:ascii="Times New Roman" w:hAnsi="Times New Roman"/>
                <w:sz w:val="18"/>
                <w:szCs w:val="18"/>
              </w:rPr>
            </w:pPr>
            <w:r w:rsidRPr="000D4799">
              <w:rPr>
                <w:rFonts w:ascii="Times New Roman" w:hAnsi="Times New Roman"/>
                <w:sz w:val="18"/>
                <w:szCs w:val="18"/>
              </w:rPr>
              <w:t>Legislation programs and strategies</w:t>
            </w:r>
          </w:p>
          <w:p w:rsidR="000D4799" w:rsidRPr="000D4799" w:rsidRDefault="000D4799" w:rsidP="000D4799">
            <w:pPr>
              <w:numPr>
                <w:ilvl w:val="0"/>
                <w:numId w:val="2"/>
              </w:numPr>
              <w:tabs>
                <w:tab w:val="clear" w:pos="720"/>
                <w:tab w:val="num" w:pos="0"/>
              </w:tabs>
              <w:ind w:left="292" w:hanging="292"/>
              <w:rPr>
                <w:rFonts w:ascii="Times New Roman" w:hAnsi="Times New Roman"/>
                <w:sz w:val="18"/>
                <w:szCs w:val="18"/>
              </w:rPr>
            </w:pPr>
            <w:r w:rsidRPr="000D4799">
              <w:rPr>
                <w:rFonts w:ascii="Times New Roman" w:hAnsi="Times New Roman"/>
                <w:sz w:val="18"/>
                <w:szCs w:val="18"/>
              </w:rPr>
              <w:t>Health insurance</w:t>
            </w:r>
          </w:p>
          <w:p w:rsidR="000D4799" w:rsidRPr="000D4799" w:rsidRDefault="000D4799" w:rsidP="000D4799">
            <w:pPr>
              <w:numPr>
                <w:ilvl w:val="0"/>
                <w:numId w:val="2"/>
              </w:numPr>
              <w:tabs>
                <w:tab w:val="clear" w:pos="720"/>
                <w:tab w:val="num" w:pos="0"/>
              </w:tabs>
              <w:ind w:left="292" w:hanging="292"/>
              <w:rPr>
                <w:rFonts w:ascii="Times New Roman" w:hAnsi="Times New Roman"/>
                <w:sz w:val="18"/>
                <w:szCs w:val="18"/>
              </w:rPr>
            </w:pPr>
            <w:r w:rsidRPr="000D4799">
              <w:rPr>
                <w:rFonts w:ascii="Times New Roman" w:hAnsi="Times New Roman"/>
                <w:sz w:val="18"/>
                <w:szCs w:val="18"/>
              </w:rPr>
              <w:t>Regulation in the domain of protection of the rights of patients to treatment and care (legislation measures to professional negligence and/or professional fault)</w:t>
            </w:r>
          </w:p>
          <w:p w:rsidR="000D4799" w:rsidRPr="000D4799" w:rsidRDefault="000D4799" w:rsidP="000D4799">
            <w:pPr>
              <w:numPr>
                <w:ilvl w:val="0"/>
                <w:numId w:val="2"/>
              </w:numPr>
              <w:tabs>
                <w:tab w:val="clear" w:pos="720"/>
                <w:tab w:val="num" w:pos="0"/>
              </w:tabs>
              <w:ind w:left="292" w:hanging="292"/>
              <w:rPr>
                <w:rFonts w:ascii="Times New Roman" w:hAnsi="Times New Roman"/>
                <w:sz w:val="18"/>
                <w:szCs w:val="18"/>
              </w:rPr>
            </w:pPr>
            <w:r w:rsidRPr="000D4799">
              <w:rPr>
                <w:rFonts w:ascii="Times New Roman" w:hAnsi="Times New Roman"/>
                <w:sz w:val="18"/>
                <w:szCs w:val="18"/>
              </w:rPr>
              <w:t>Rights derived from the system of social protection</w:t>
            </w:r>
          </w:p>
          <w:p w:rsidR="000D4799" w:rsidRPr="000D4799" w:rsidRDefault="000D4799" w:rsidP="000D4799">
            <w:pPr>
              <w:numPr>
                <w:ilvl w:val="0"/>
                <w:numId w:val="2"/>
              </w:numPr>
              <w:tabs>
                <w:tab w:val="clear" w:pos="720"/>
              </w:tabs>
              <w:ind w:left="242" w:hanging="242"/>
              <w:rPr>
                <w:rFonts w:ascii="Times New Roman" w:hAnsi="Times New Roman"/>
                <w:sz w:val="18"/>
                <w:szCs w:val="18"/>
              </w:rPr>
            </w:pPr>
            <w:r w:rsidRPr="000D4799">
              <w:rPr>
                <w:rFonts w:ascii="Times New Roman" w:hAnsi="Times New Roman"/>
                <w:sz w:val="18"/>
                <w:szCs w:val="18"/>
              </w:rPr>
              <w:t>International convention for human rights.</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Organization</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sz w:val="18"/>
                <w:szCs w:val="18"/>
              </w:rPr>
            </w:pPr>
            <w:r w:rsidRPr="000D4799">
              <w:rPr>
                <w:rFonts w:ascii="Times New Roman" w:hAnsi="Times New Roman"/>
                <w:sz w:val="18"/>
                <w:szCs w:val="18"/>
              </w:rPr>
              <w:t>Theoretical course: 20 hours</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Methods of studying</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sz w:val="18"/>
                <w:szCs w:val="18"/>
              </w:rPr>
            </w:pPr>
            <w:r w:rsidRPr="000D4799">
              <w:rPr>
                <w:rFonts w:ascii="Times New Roman" w:hAnsi="Times New Roman"/>
                <w:sz w:val="18"/>
                <w:szCs w:val="18"/>
              </w:rPr>
              <w:t xml:space="preserve">Interactive lectures </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Anticipated results</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sz w:val="18"/>
                <w:szCs w:val="18"/>
              </w:rPr>
            </w:pPr>
            <w:r w:rsidRPr="000D4799">
              <w:rPr>
                <w:rFonts w:ascii="Times New Roman" w:hAnsi="Times New Roman"/>
                <w:b/>
                <w:sz w:val="18"/>
                <w:szCs w:val="18"/>
              </w:rPr>
              <w:t>Knowledge and understanding:</w:t>
            </w:r>
          </w:p>
          <w:p w:rsidR="000D4799" w:rsidRPr="000D4799" w:rsidRDefault="000D4799" w:rsidP="00116787">
            <w:pPr>
              <w:rPr>
                <w:rFonts w:ascii="Times New Roman" w:hAnsi="Times New Roman"/>
                <w:sz w:val="18"/>
                <w:szCs w:val="18"/>
              </w:rPr>
            </w:pPr>
            <w:r w:rsidRPr="000D4799">
              <w:rPr>
                <w:rFonts w:ascii="Times New Roman" w:hAnsi="Times New Roman"/>
                <w:sz w:val="18"/>
                <w:szCs w:val="18"/>
              </w:rPr>
              <w:t xml:space="preserve">The student will acquire knowledge and understanding about the regulations in health and social protection. </w:t>
            </w:r>
          </w:p>
          <w:p w:rsidR="000D4799" w:rsidRPr="000D4799" w:rsidRDefault="000D4799" w:rsidP="00116787">
            <w:pPr>
              <w:rPr>
                <w:rFonts w:ascii="Times New Roman" w:hAnsi="Times New Roman"/>
                <w:b/>
                <w:sz w:val="18"/>
                <w:szCs w:val="18"/>
              </w:rPr>
            </w:pPr>
            <w:r w:rsidRPr="000D4799">
              <w:rPr>
                <w:rFonts w:ascii="Times New Roman" w:hAnsi="Times New Roman"/>
                <w:b/>
                <w:sz w:val="18"/>
                <w:szCs w:val="18"/>
              </w:rPr>
              <w:t>Key skills:</w:t>
            </w:r>
          </w:p>
          <w:p w:rsidR="000D4799" w:rsidRPr="000D4799" w:rsidRDefault="000D4799" w:rsidP="00116787">
            <w:pPr>
              <w:rPr>
                <w:rFonts w:ascii="Times New Roman" w:hAnsi="Times New Roman"/>
                <w:sz w:val="18"/>
                <w:szCs w:val="18"/>
              </w:rPr>
            </w:pPr>
            <w:r w:rsidRPr="000D4799">
              <w:rPr>
                <w:rFonts w:ascii="Times New Roman" w:hAnsi="Times New Roman"/>
                <w:sz w:val="18"/>
                <w:szCs w:val="18"/>
              </w:rPr>
              <w:t>The student will be able to utilize and apply the gained theoretical knowledge in practice</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t>Specific recommendations for the course</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sz w:val="18"/>
                <w:szCs w:val="18"/>
              </w:rPr>
            </w:pPr>
            <w:r w:rsidRPr="000D4799">
              <w:rPr>
                <w:rFonts w:ascii="Times New Roman" w:hAnsi="Times New Roman"/>
                <w:sz w:val="18"/>
                <w:szCs w:val="18"/>
              </w:rPr>
              <w:t>The student is obliged to participate actively in all anticipated activities.</w:t>
            </w:r>
          </w:p>
          <w:p w:rsidR="000D4799" w:rsidRPr="000D4799" w:rsidRDefault="000D4799" w:rsidP="00116787">
            <w:pPr>
              <w:rPr>
                <w:rFonts w:ascii="Times New Roman" w:hAnsi="Times New Roman"/>
                <w:sz w:val="18"/>
                <w:szCs w:val="18"/>
              </w:rPr>
            </w:pPr>
          </w:p>
          <w:p w:rsidR="000D4799" w:rsidRPr="000D4799" w:rsidRDefault="000D4799" w:rsidP="00116787">
            <w:pPr>
              <w:rPr>
                <w:rFonts w:ascii="Times New Roman" w:hAnsi="Times New Roman"/>
                <w:b/>
                <w:sz w:val="18"/>
                <w:szCs w:val="18"/>
              </w:rPr>
            </w:pPr>
            <w:r w:rsidRPr="000D4799">
              <w:rPr>
                <w:rFonts w:ascii="Times New Roman" w:hAnsi="Times New Roman"/>
                <w:b/>
                <w:sz w:val="18"/>
                <w:szCs w:val="18"/>
              </w:rPr>
              <w:t>Points for the activities of the student:</w:t>
            </w:r>
          </w:p>
          <w:p w:rsidR="000D4799" w:rsidRPr="000D4799" w:rsidRDefault="000D4799" w:rsidP="00116787">
            <w:pPr>
              <w:rPr>
                <w:rFonts w:ascii="Times New Roman" w:hAnsi="Times New Roman"/>
                <w:b/>
                <w:sz w:val="18"/>
                <w:szCs w:val="18"/>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3240"/>
            </w:tblGrid>
            <w:tr w:rsidR="000D4799" w:rsidRPr="000D4799" w:rsidTr="00116787">
              <w:trPr>
                <w:cantSplit/>
              </w:trPr>
              <w:tc>
                <w:tcPr>
                  <w:tcW w:w="3888" w:type="dxa"/>
                  <w:vAlign w:val="center"/>
                </w:tcPr>
                <w:p w:rsidR="000D4799" w:rsidRPr="000D4799" w:rsidRDefault="000D4799" w:rsidP="00116787">
                  <w:pPr>
                    <w:jc w:val="center"/>
                    <w:rPr>
                      <w:rFonts w:ascii="Times New Roman" w:hAnsi="Times New Roman"/>
                      <w:b/>
                      <w:sz w:val="18"/>
                      <w:szCs w:val="18"/>
                    </w:rPr>
                  </w:pPr>
                  <w:r w:rsidRPr="000D4799">
                    <w:rPr>
                      <w:rFonts w:ascii="Times New Roman" w:hAnsi="Times New Roman"/>
                      <w:b/>
                      <w:sz w:val="18"/>
                      <w:szCs w:val="18"/>
                    </w:rPr>
                    <w:t>Type of activity</w:t>
                  </w:r>
                </w:p>
              </w:tc>
              <w:tc>
                <w:tcPr>
                  <w:tcW w:w="3240" w:type="dxa"/>
                  <w:vAlign w:val="center"/>
                </w:tcPr>
                <w:p w:rsidR="000D4799" w:rsidRPr="000D4799" w:rsidRDefault="000D4799" w:rsidP="00116787">
                  <w:pPr>
                    <w:pStyle w:val="Heading2"/>
                    <w:rPr>
                      <w:rFonts w:ascii="Times New Roman" w:hAnsi="Times New Roman"/>
                      <w:sz w:val="18"/>
                      <w:szCs w:val="18"/>
                    </w:rPr>
                  </w:pPr>
                  <w:r w:rsidRPr="000D4799">
                    <w:rPr>
                      <w:rFonts w:ascii="Times New Roman" w:hAnsi="Times New Roman"/>
                      <w:sz w:val="18"/>
                      <w:szCs w:val="18"/>
                    </w:rPr>
                    <w:t>Points</w:t>
                  </w:r>
                </w:p>
              </w:tc>
            </w:tr>
            <w:tr w:rsidR="000D4799" w:rsidRPr="000D4799" w:rsidTr="00116787">
              <w:tc>
                <w:tcPr>
                  <w:tcW w:w="3888" w:type="dxa"/>
                  <w:vAlign w:val="center"/>
                </w:tcPr>
                <w:p w:rsidR="000D4799" w:rsidRPr="000D4799" w:rsidRDefault="000D4799" w:rsidP="00116787">
                  <w:pPr>
                    <w:jc w:val="center"/>
                    <w:rPr>
                      <w:rFonts w:ascii="Times New Roman" w:hAnsi="Times New Roman"/>
                      <w:sz w:val="18"/>
                      <w:szCs w:val="18"/>
                    </w:rPr>
                  </w:pPr>
                  <w:r w:rsidRPr="000D4799">
                    <w:rPr>
                      <w:rFonts w:ascii="Times New Roman" w:hAnsi="Times New Roman"/>
                      <w:sz w:val="18"/>
                      <w:szCs w:val="18"/>
                    </w:rPr>
                    <w:t>Theoretical course*</w:t>
                  </w:r>
                </w:p>
              </w:tc>
              <w:tc>
                <w:tcPr>
                  <w:tcW w:w="3240" w:type="dxa"/>
                  <w:vAlign w:val="center"/>
                </w:tcPr>
                <w:p w:rsidR="000D4799" w:rsidRPr="000D4799" w:rsidRDefault="000D4799" w:rsidP="00116787">
                  <w:pPr>
                    <w:jc w:val="center"/>
                    <w:rPr>
                      <w:rFonts w:ascii="Times New Roman" w:hAnsi="Times New Roman"/>
                      <w:sz w:val="18"/>
                      <w:szCs w:val="18"/>
                    </w:rPr>
                  </w:pPr>
                  <w:r w:rsidRPr="000D4799">
                    <w:rPr>
                      <w:rFonts w:ascii="Times New Roman" w:hAnsi="Times New Roman"/>
                      <w:sz w:val="18"/>
                      <w:szCs w:val="18"/>
                    </w:rPr>
                    <w:t>10-15</w:t>
                  </w:r>
                </w:p>
              </w:tc>
            </w:tr>
            <w:tr w:rsidR="000D4799" w:rsidRPr="000D4799" w:rsidTr="00116787">
              <w:tc>
                <w:tcPr>
                  <w:tcW w:w="3888" w:type="dxa"/>
                  <w:vAlign w:val="center"/>
                </w:tcPr>
                <w:p w:rsidR="000D4799" w:rsidRPr="000D4799" w:rsidRDefault="000D4799" w:rsidP="00116787">
                  <w:pPr>
                    <w:jc w:val="center"/>
                    <w:rPr>
                      <w:rFonts w:ascii="Times New Roman" w:hAnsi="Times New Roman"/>
                      <w:sz w:val="18"/>
                      <w:szCs w:val="18"/>
                    </w:rPr>
                  </w:pPr>
                  <w:r w:rsidRPr="000D4799">
                    <w:rPr>
                      <w:rFonts w:ascii="Times New Roman" w:hAnsi="Times New Roman"/>
                      <w:sz w:val="18"/>
                      <w:szCs w:val="18"/>
                    </w:rPr>
                    <w:t>Seminar paper**</w:t>
                  </w:r>
                </w:p>
              </w:tc>
              <w:tc>
                <w:tcPr>
                  <w:tcW w:w="3240" w:type="dxa"/>
                  <w:vAlign w:val="center"/>
                </w:tcPr>
                <w:p w:rsidR="000D4799" w:rsidRPr="000D4799" w:rsidRDefault="000D4799" w:rsidP="00116787">
                  <w:pPr>
                    <w:jc w:val="center"/>
                    <w:rPr>
                      <w:rFonts w:ascii="Times New Roman" w:hAnsi="Times New Roman"/>
                      <w:sz w:val="18"/>
                      <w:szCs w:val="18"/>
                    </w:rPr>
                  </w:pPr>
                  <w:r w:rsidRPr="000D4799">
                    <w:rPr>
                      <w:rFonts w:ascii="Times New Roman" w:hAnsi="Times New Roman"/>
                      <w:sz w:val="18"/>
                      <w:szCs w:val="18"/>
                    </w:rPr>
                    <w:t>20-30</w:t>
                  </w:r>
                </w:p>
              </w:tc>
            </w:tr>
            <w:tr w:rsidR="000D4799" w:rsidRPr="000D4799" w:rsidTr="00116787">
              <w:tc>
                <w:tcPr>
                  <w:tcW w:w="3888" w:type="dxa"/>
                  <w:vAlign w:val="center"/>
                </w:tcPr>
                <w:p w:rsidR="000D4799" w:rsidRPr="000D4799" w:rsidRDefault="000D4799" w:rsidP="00116787">
                  <w:pPr>
                    <w:jc w:val="center"/>
                    <w:rPr>
                      <w:rFonts w:ascii="Times New Roman" w:hAnsi="Times New Roman"/>
                      <w:sz w:val="18"/>
                      <w:szCs w:val="18"/>
                    </w:rPr>
                  </w:pPr>
                  <w:r w:rsidRPr="000D4799">
                    <w:rPr>
                      <w:rFonts w:ascii="Times New Roman" w:hAnsi="Times New Roman"/>
                      <w:sz w:val="18"/>
                      <w:szCs w:val="18"/>
                    </w:rPr>
                    <w:t>Continual assessment</w:t>
                  </w:r>
                </w:p>
              </w:tc>
              <w:tc>
                <w:tcPr>
                  <w:tcW w:w="3240" w:type="dxa"/>
                  <w:vAlign w:val="center"/>
                </w:tcPr>
                <w:p w:rsidR="000D4799" w:rsidRPr="000D4799" w:rsidRDefault="000D4799" w:rsidP="00116787">
                  <w:pPr>
                    <w:ind w:right="154"/>
                    <w:jc w:val="center"/>
                    <w:rPr>
                      <w:rFonts w:ascii="Times New Roman" w:hAnsi="Times New Roman"/>
                      <w:sz w:val="18"/>
                      <w:szCs w:val="18"/>
                    </w:rPr>
                  </w:pPr>
                  <w:r w:rsidRPr="000D4799">
                    <w:rPr>
                      <w:rFonts w:ascii="Times New Roman" w:hAnsi="Times New Roman"/>
                      <w:sz w:val="18"/>
                      <w:szCs w:val="18"/>
                    </w:rPr>
                    <w:t xml:space="preserve">    30-55</w:t>
                  </w:r>
                </w:p>
              </w:tc>
            </w:tr>
            <w:tr w:rsidR="000D4799" w:rsidRPr="000D4799" w:rsidTr="00116787">
              <w:tc>
                <w:tcPr>
                  <w:tcW w:w="3888" w:type="dxa"/>
                  <w:vAlign w:val="center"/>
                </w:tcPr>
                <w:p w:rsidR="000D4799" w:rsidRPr="000D4799" w:rsidRDefault="000D4799" w:rsidP="00116787">
                  <w:pPr>
                    <w:jc w:val="center"/>
                    <w:rPr>
                      <w:rFonts w:ascii="Times New Roman" w:hAnsi="Times New Roman"/>
                      <w:b/>
                      <w:sz w:val="18"/>
                      <w:szCs w:val="18"/>
                    </w:rPr>
                  </w:pPr>
                  <w:r w:rsidRPr="000D4799">
                    <w:rPr>
                      <w:rFonts w:ascii="Times New Roman" w:hAnsi="Times New Roman"/>
                      <w:b/>
                      <w:sz w:val="18"/>
                      <w:szCs w:val="18"/>
                    </w:rPr>
                    <w:t>Total:</w:t>
                  </w:r>
                </w:p>
              </w:tc>
              <w:tc>
                <w:tcPr>
                  <w:tcW w:w="3240" w:type="dxa"/>
                  <w:vAlign w:val="center"/>
                </w:tcPr>
                <w:p w:rsidR="000D4799" w:rsidRPr="000D4799" w:rsidRDefault="000D4799" w:rsidP="00116787">
                  <w:pPr>
                    <w:jc w:val="center"/>
                    <w:rPr>
                      <w:rFonts w:ascii="Times New Roman" w:hAnsi="Times New Roman"/>
                      <w:b/>
                      <w:sz w:val="18"/>
                      <w:szCs w:val="18"/>
                    </w:rPr>
                  </w:pPr>
                  <w:r w:rsidRPr="000D4799">
                    <w:rPr>
                      <w:rFonts w:ascii="Times New Roman" w:hAnsi="Times New Roman"/>
                      <w:b/>
                      <w:sz w:val="18"/>
                      <w:szCs w:val="18"/>
                    </w:rPr>
                    <w:t>60 - 100</w:t>
                  </w:r>
                </w:p>
              </w:tc>
            </w:tr>
          </w:tbl>
          <w:p w:rsidR="000D4799" w:rsidRPr="000D4799" w:rsidRDefault="000D4799" w:rsidP="00116787">
            <w:pPr>
              <w:rPr>
                <w:rFonts w:ascii="Times New Roman" w:hAnsi="Times New Roman"/>
                <w:sz w:val="18"/>
                <w:szCs w:val="18"/>
              </w:rPr>
            </w:pPr>
          </w:p>
          <w:p w:rsidR="000D4799" w:rsidRPr="000D4799" w:rsidRDefault="000D4799" w:rsidP="00116787">
            <w:pPr>
              <w:rPr>
                <w:rFonts w:ascii="Times New Roman" w:hAnsi="Times New Roman"/>
                <w:sz w:val="18"/>
                <w:szCs w:val="18"/>
              </w:rPr>
            </w:pPr>
            <w:r w:rsidRPr="000D4799">
              <w:rPr>
                <w:rFonts w:ascii="Times New Roman" w:hAnsi="Times New Roman"/>
                <w:b/>
                <w:sz w:val="18"/>
                <w:szCs w:val="18"/>
              </w:rPr>
              <w:t>*</w:t>
            </w:r>
            <w:r w:rsidRPr="000D4799">
              <w:rPr>
                <w:rFonts w:ascii="Times New Roman" w:hAnsi="Times New Roman"/>
                <w:bCs/>
                <w:sz w:val="18"/>
                <w:szCs w:val="18"/>
              </w:rPr>
              <w:t>Attendance at Theoretical course</w:t>
            </w:r>
            <w:r w:rsidRPr="000D4799">
              <w:rPr>
                <w:rFonts w:ascii="Times New Roman" w:hAnsi="Times New Roman"/>
                <w:sz w:val="18"/>
                <w:szCs w:val="18"/>
              </w:rPr>
              <w:t>:</w:t>
            </w:r>
          </w:p>
          <w:p w:rsidR="000D4799" w:rsidRPr="000D4799" w:rsidRDefault="000D4799" w:rsidP="00116787">
            <w:pPr>
              <w:rPr>
                <w:rFonts w:ascii="Times New Roman" w:hAnsi="Times New Roman"/>
                <w:sz w:val="18"/>
                <w:szCs w:val="18"/>
              </w:rPr>
            </w:pPr>
            <w:r w:rsidRPr="000D4799">
              <w:rPr>
                <w:rFonts w:ascii="Times New Roman" w:hAnsi="Times New Roman"/>
                <w:sz w:val="18"/>
                <w:szCs w:val="18"/>
              </w:rPr>
              <w:t>51%-60% - 10 points;</w:t>
            </w:r>
          </w:p>
          <w:p w:rsidR="000D4799" w:rsidRPr="000D4799" w:rsidRDefault="000D4799" w:rsidP="00116787">
            <w:pPr>
              <w:rPr>
                <w:rFonts w:ascii="Times New Roman" w:hAnsi="Times New Roman"/>
                <w:sz w:val="18"/>
                <w:szCs w:val="18"/>
              </w:rPr>
            </w:pPr>
            <w:r w:rsidRPr="000D4799">
              <w:rPr>
                <w:rFonts w:ascii="Times New Roman" w:hAnsi="Times New Roman"/>
                <w:sz w:val="18"/>
                <w:szCs w:val="18"/>
              </w:rPr>
              <w:t>61%-70% - 11 points;</w:t>
            </w:r>
          </w:p>
          <w:p w:rsidR="000D4799" w:rsidRPr="000D4799" w:rsidRDefault="000D4799" w:rsidP="00116787">
            <w:pPr>
              <w:rPr>
                <w:rFonts w:ascii="Times New Roman" w:hAnsi="Times New Roman"/>
                <w:sz w:val="18"/>
                <w:szCs w:val="18"/>
              </w:rPr>
            </w:pPr>
            <w:r w:rsidRPr="000D4799">
              <w:rPr>
                <w:rFonts w:ascii="Times New Roman" w:hAnsi="Times New Roman"/>
                <w:sz w:val="18"/>
                <w:szCs w:val="18"/>
              </w:rPr>
              <w:t>71%-80% - 12 points;</w:t>
            </w:r>
          </w:p>
          <w:p w:rsidR="000D4799" w:rsidRPr="000D4799" w:rsidRDefault="000D4799" w:rsidP="00116787">
            <w:pPr>
              <w:rPr>
                <w:rFonts w:ascii="Times New Roman" w:hAnsi="Times New Roman"/>
                <w:sz w:val="18"/>
                <w:szCs w:val="18"/>
              </w:rPr>
            </w:pPr>
            <w:r w:rsidRPr="000D4799">
              <w:rPr>
                <w:rFonts w:ascii="Times New Roman" w:hAnsi="Times New Roman"/>
                <w:sz w:val="18"/>
                <w:szCs w:val="18"/>
              </w:rPr>
              <w:t>81%-90% - 13 points;</w:t>
            </w:r>
          </w:p>
          <w:p w:rsidR="000D4799" w:rsidRPr="000D4799" w:rsidRDefault="000D4799" w:rsidP="00116787">
            <w:pPr>
              <w:rPr>
                <w:rFonts w:ascii="Times New Roman" w:hAnsi="Times New Roman"/>
                <w:sz w:val="18"/>
                <w:szCs w:val="18"/>
              </w:rPr>
            </w:pPr>
            <w:r w:rsidRPr="000D4799">
              <w:rPr>
                <w:rFonts w:ascii="Times New Roman" w:hAnsi="Times New Roman"/>
                <w:sz w:val="18"/>
                <w:szCs w:val="18"/>
              </w:rPr>
              <w:t>91%-100% - 15 points.</w:t>
            </w:r>
          </w:p>
          <w:p w:rsidR="000D4799" w:rsidRPr="000D4799" w:rsidRDefault="000D4799" w:rsidP="00116787">
            <w:pPr>
              <w:rPr>
                <w:rFonts w:ascii="Times New Roman" w:hAnsi="Times New Roman"/>
                <w:sz w:val="18"/>
                <w:szCs w:val="18"/>
              </w:rPr>
            </w:pPr>
          </w:p>
          <w:p w:rsidR="000D4799" w:rsidRPr="000D4799" w:rsidRDefault="000D4799" w:rsidP="00116787">
            <w:pPr>
              <w:rPr>
                <w:rFonts w:ascii="Times New Roman" w:hAnsi="Times New Roman"/>
                <w:sz w:val="18"/>
                <w:szCs w:val="18"/>
              </w:rPr>
            </w:pPr>
            <w:r w:rsidRPr="000D4799">
              <w:rPr>
                <w:rFonts w:ascii="Times New Roman" w:hAnsi="Times New Roman"/>
                <w:sz w:val="18"/>
                <w:szCs w:val="18"/>
              </w:rPr>
              <w:t>**Successfulness of Seminar paper:</w:t>
            </w:r>
          </w:p>
          <w:p w:rsidR="000D4799" w:rsidRPr="000D4799" w:rsidRDefault="000D4799" w:rsidP="00116787">
            <w:pPr>
              <w:rPr>
                <w:rFonts w:ascii="Times New Roman" w:hAnsi="Times New Roman"/>
                <w:sz w:val="18"/>
                <w:szCs w:val="18"/>
              </w:rPr>
            </w:pPr>
            <w:r w:rsidRPr="000D4799">
              <w:rPr>
                <w:rFonts w:ascii="Times New Roman" w:hAnsi="Times New Roman"/>
                <w:sz w:val="18"/>
                <w:szCs w:val="18"/>
              </w:rPr>
              <w:t>51%-60% - 20 points;</w:t>
            </w:r>
          </w:p>
          <w:p w:rsidR="000D4799" w:rsidRPr="000D4799" w:rsidRDefault="000D4799" w:rsidP="00116787">
            <w:pPr>
              <w:rPr>
                <w:rFonts w:ascii="Times New Roman" w:hAnsi="Times New Roman"/>
                <w:sz w:val="18"/>
                <w:szCs w:val="18"/>
              </w:rPr>
            </w:pPr>
            <w:r w:rsidRPr="000D4799">
              <w:rPr>
                <w:rFonts w:ascii="Times New Roman" w:hAnsi="Times New Roman"/>
                <w:sz w:val="18"/>
                <w:szCs w:val="18"/>
              </w:rPr>
              <w:lastRenderedPageBreak/>
              <w:t>61%-70% - 24 points;</w:t>
            </w:r>
          </w:p>
          <w:p w:rsidR="000D4799" w:rsidRPr="000D4799" w:rsidRDefault="000D4799" w:rsidP="00116787">
            <w:pPr>
              <w:rPr>
                <w:rFonts w:ascii="Times New Roman" w:hAnsi="Times New Roman"/>
                <w:sz w:val="18"/>
                <w:szCs w:val="18"/>
              </w:rPr>
            </w:pPr>
            <w:r w:rsidRPr="000D4799">
              <w:rPr>
                <w:rFonts w:ascii="Times New Roman" w:hAnsi="Times New Roman"/>
                <w:sz w:val="18"/>
                <w:szCs w:val="18"/>
              </w:rPr>
              <w:t>71%-80% - 26 points;</w:t>
            </w:r>
          </w:p>
          <w:p w:rsidR="000D4799" w:rsidRPr="000D4799" w:rsidRDefault="000D4799" w:rsidP="00116787">
            <w:pPr>
              <w:rPr>
                <w:rFonts w:ascii="Times New Roman" w:hAnsi="Times New Roman"/>
                <w:sz w:val="18"/>
                <w:szCs w:val="18"/>
              </w:rPr>
            </w:pPr>
            <w:r w:rsidRPr="000D4799">
              <w:rPr>
                <w:rFonts w:ascii="Times New Roman" w:hAnsi="Times New Roman"/>
                <w:sz w:val="18"/>
                <w:szCs w:val="18"/>
              </w:rPr>
              <w:t>81%-90% - 28 points;</w:t>
            </w:r>
          </w:p>
          <w:p w:rsidR="000D4799" w:rsidRPr="000D4799" w:rsidRDefault="000D4799" w:rsidP="00116787">
            <w:pPr>
              <w:rPr>
                <w:rFonts w:ascii="Times New Roman" w:hAnsi="Times New Roman"/>
                <w:sz w:val="18"/>
                <w:szCs w:val="18"/>
              </w:rPr>
            </w:pPr>
            <w:r w:rsidRPr="000D4799">
              <w:rPr>
                <w:rFonts w:ascii="Times New Roman" w:hAnsi="Times New Roman"/>
                <w:sz w:val="18"/>
                <w:szCs w:val="18"/>
              </w:rPr>
              <w:t>91%-100% - 30 points.</w:t>
            </w:r>
          </w:p>
          <w:p w:rsidR="000D4799" w:rsidRPr="000D4799" w:rsidRDefault="000D4799" w:rsidP="00116787">
            <w:pPr>
              <w:rPr>
                <w:rFonts w:ascii="Times New Roman" w:hAnsi="Times New Roman"/>
                <w:b/>
                <w:sz w:val="18"/>
                <w:szCs w:val="18"/>
              </w:rPr>
            </w:pPr>
          </w:p>
          <w:p w:rsidR="000D4799" w:rsidRPr="000D4799" w:rsidRDefault="000D4799" w:rsidP="00116787">
            <w:pPr>
              <w:rPr>
                <w:rFonts w:ascii="Times New Roman" w:hAnsi="Times New Roman"/>
                <w:sz w:val="18"/>
                <w:szCs w:val="18"/>
              </w:rPr>
            </w:pPr>
            <w:r w:rsidRPr="000D4799">
              <w:rPr>
                <w:rFonts w:ascii="Times New Roman" w:hAnsi="Times New Roman"/>
                <w:b/>
                <w:sz w:val="18"/>
                <w:szCs w:val="18"/>
              </w:rPr>
              <w:t xml:space="preserve">Conditional criteria: </w:t>
            </w:r>
            <w:r w:rsidRPr="000D4799">
              <w:rPr>
                <w:rFonts w:ascii="Times New Roman" w:hAnsi="Times New Roman"/>
                <w:sz w:val="18"/>
                <w:szCs w:val="18"/>
              </w:rPr>
              <w:t xml:space="preserve"> In order to approach continual assessment of knowledge, the student has to attend regularly theoretical course. The assessment of knowledge is in a written form. The grade for the entire exam is obtained according to the table of grades and based on the sum of the points gained in all activities, including continual assessment of knowledge. In case the student has not acquired minimum points (60%) from the continual assessment, he/she applies to take the complete final exam. </w:t>
            </w:r>
          </w:p>
          <w:p w:rsidR="000D4799" w:rsidRPr="000D4799" w:rsidRDefault="000D4799" w:rsidP="00116787">
            <w:pPr>
              <w:rPr>
                <w:rFonts w:ascii="Times New Roman" w:hAnsi="Times New Roman"/>
                <w:sz w:val="18"/>
                <w:szCs w:val="18"/>
              </w:rPr>
            </w:pPr>
            <w:r w:rsidRPr="000D4799">
              <w:rPr>
                <w:rFonts w:ascii="Times New Roman" w:hAnsi="Times New Roman"/>
                <w:sz w:val="18"/>
                <w:szCs w:val="18"/>
              </w:rPr>
              <w:t xml:space="preserve"> </w:t>
            </w:r>
          </w:p>
          <w:p w:rsidR="000D4799" w:rsidRPr="000D4799" w:rsidRDefault="000D4799" w:rsidP="00116787">
            <w:pPr>
              <w:rPr>
                <w:rFonts w:ascii="Times New Roman" w:hAnsi="Times New Roman"/>
                <w:sz w:val="18"/>
                <w:szCs w:val="18"/>
              </w:rPr>
            </w:pPr>
            <w:r w:rsidRPr="000D4799">
              <w:rPr>
                <w:rFonts w:ascii="Times New Roman" w:hAnsi="Times New Roman"/>
                <w:b/>
                <w:sz w:val="18"/>
                <w:szCs w:val="18"/>
              </w:rPr>
              <w:t xml:space="preserve">Complete final exam: </w:t>
            </w:r>
            <w:r w:rsidRPr="000D4799">
              <w:rPr>
                <w:rFonts w:ascii="Times New Roman" w:hAnsi="Times New Roman"/>
                <w:sz w:val="18"/>
                <w:szCs w:val="18"/>
              </w:rPr>
              <w:t>The exam is in a written form. It is consisted of continual assessment of knowledge on which the student has not acquired any points.</w:t>
            </w:r>
          </w:p>
        </w:tc>
      </w:tr>
      <w:tr w:rsidR="000D4799" w:rsidRPr="000D4799" w:rsidTr="00116787">
        <w:tblPrEx>
          <w:tblCellMar>
            <w:top w:w="0" w:type="dxa"/>
            <w:bottom w:w="0" w:type="dxa"/>
          </w:tblCellMar>
        </w:tblPrEx>
        <w:tc>
          <w:tcPr>
            <w:tcW w:w="1694"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bCs/>
                <w:sz w:val="18"/>
                <w:szCs w:val="18"/>
              </w:rPr>
            </w:pPr>
            <w:r w:rsidRPr="000D4799">
              <w:rPr>
                <w:rFonts w:ascii="Times New Roman" w:hAnsi="Times New Roman"/>
                <w:b/>
                <w:bCs/>
                <w:sz w:val="18"/>
                <w:szCs w:val="18"/>
              </w:rPr>
              <w:lastRenderedPageBreak/>
              <w:t>Textbooks</w:t>
            </w:r>
          </w:p>
        </w:tc>
        <w:tc>
          <w:tcPr>
            <w:tcW w:w="7162" w:type="dxa"/>
            <w:tcBorders>
              <w:top w:val="single" w:sz="4" w:space="0" w:color="auto"/>
              <w:left w:val="single" w:sz="4" w:space="0" w:color="auto"/>
              <w:bottom w:val="single" w:sz="4" w:space="0" w:color="auto"/>
              <w:right w:val="single" w:sz="4" w:space="0" w:color="auto"/>
            </w:tcBorders>
            <w:vAlign w:val="center"/>
          </w:tcPr>
          <w:p w:rsidR="000D4799" w:rsidRPr="000D4799" w:rsidRDefault="000D4799" w:rsidP="00116787">
            <w:pPr>
              <w:rPr>
                <w:rFonts w:ascii="Times New Roman" w:hAnsi="Times New Roman"/>
                <w:b/>
                <w:sz w:val="18"/>
                <w:szCs w:val="18"/>
              </w:rPr>
            </w:pPr>
            <w:r w:rsidRPr="000D4799">
              <w:rPr>
                <w:rFonts w:ascii="Times New Roman" w:hAnsi="Times New Roman"/>
                <w:b/>
                <w:sz w:val="18"/>
                <w:szCs w:val="18"/>
              </w:rPr>
              <w:t>Basic :</w:t>
            </w:r>
          </w:p>
          <w:p w:rsidR="000D4799" w:rsidRPr="000D4799" w:rsidRDefault="000D4799" w:rsidP="000D4799">
            <w:pPr>
              <w:numPr>
                <w:ilvl w:val="0"/>
                <w:numId w:val="3"/>
              </w:numPr>
              <w:tabs>
                <w:tab w:val="num" w:pos="360"/>
              </w:tabs>
              <w:rPr>
                <w:rFonts w:ascii="Times New Roman" w:hAnsi="Times New Roman"/>
                <w:b/>
                <w:sz w:val="18"/>
                <w:szCs w:val="18"/>
              </w:rPr>
            </w:pPr>
            <w:r w:rsidRPr="000D4799">
              <w:rPr>
                <w:rFonts w:ascii="Times New Roman" w:hAnsi="Times New Roman"/>
                <w:sz w:val="18"/>
                <w:szCs w:val="18"/>
              </w:rPr>
              <w:t>Law on health care of RM.</w:t>
            </w:r>
          </w:p>
          <w:p w:rsidR="000D4799" w:rsidRPr="000D4799" w:rsidRDefault="000D4799" w:rsidP="000D4799">
            <w:pPr>
              <w:numPr>
                <w:ilvl w:val="0"/>
                <w:numId w:val="3"/>
              </w:numPr>
              <w:tabs>
                <w:tab w:val="num" w:pos="360"/>
              </w:tabs>
              <w:rPr>
                <w:rFonts w:ascii="Times New Roman" w:hAnsi="Times New Roman"/>
                <w:b/>
                <w:sz w:val="18"/>
                <w:szCs w:val="18"/>
              </w:rPr>
            </w:pPr>
            <w:r w:rsidRPr="000D4799">
              <w:rPr>
                <w:rFonts w:ascii="Times New Roman" w:hAnsi="Times New Roman"/>
                <w:sz w:val="18"/>
                <w:szCs w:val="18"/>
              </w:rPr>
              <w:t>Law on health insurance of RM.</w:t>
            </w:r>
          </w:p>
          <w:p w:rsidR="000D4799" w:rsidRPr="000D4799" w:rsidRDefault="000D4799" w:rsidP="000D4799">
            <w:pPr>
              <w:numPr>
                <w:ilvl w:val="0"/>
                <w:numId w:val="3"/>
              </w:numPr>
              <w:tabs>
                <w:tab w:val="num" w:pos="360"/>
              </w:tabs>
              <w:rPr>
                <w:rFonts w:ascii="Times New Roman" w:hAnsi="Times New Roman"/>
                <w:b/>
                <w:sz w:val="18"/>
                <w:szCs w:val="18"/>
              </w:rPr>
            </w:pPr>
            <w:r w:rsidRPr="000D4799">
              <w:rPr>
                <w:rFonts w:ascii="Times New Roman" w:hAnsi="Times New Roman"/>
                <w:sz w:val="18"/>
                <w:szCs w:val="18"/>
              </w:rPr>
              <w:t>Law on social protection of RM.</w:t>
            </w:r>
          </w:p>
          <w:p w:rsidR="000D4799" w:rsidRPr="000D4799" w:rsidRDefault="000D4799" w:rsidP="000D4799">
            <w:pPr>
              <w:numPr>
                <w:ilvl w:val="0"/>
                <w:numId w:val="3"/>
              </w:numPr>
              <w:tabs>
                <w:tab w:val="num" w:pos="360"/>
              </w:tabs>
              <w:rPr>
                <w:rFonts w:ascii="Times New Roman" w:hAnsi="Times New Roman"/>
                <w:b/>
                <w:sz w:val="18"/>
                <w:szCs w:val="18"/>
              </w:rPr>
            </w:pPr>
            <w:r w:rsidRPr="000D4799">
              <w:rPr>
                <w:rFonts w:ascii="Times New Roman" w:hAnsi="Times New Roman"/>
                <w:sz w:val="18"/>
                <w:szCs w:val="18"/>
              </w:rPr>
              <w:t>Authorized lecture handouts.</w:t>
            </w:r>
          </w:p>
        </w:tc>
      </w:tr>
    </w:tbl>
    <w:p w:rsidR="00591A47" w:rsidRDefault="00591A47"/>
    <w:sectPr w:rsidR="00591A47" w:rsidSect="00591A4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C C Times">
    <w:panose1 w:val="02027200000000000000"/>
    <w:charset w:val="00"/>
    <w:family w:val="roman"/>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64B7"/>
    <w:multiLevelType w:val="hybridMultilevel"/>
    <w:tmpl w:val="044AE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1C2B0A"/>
    <w:multiLevelType w:val="hybridMultilevel"/>
    <w:tmpl w:val="9762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BA67251"/>
    <w:multiLevelType w:val="hybridMultilevel"/>
    <w:tmpl w:val="D1C87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4799"/>
    <w:rsid w:val="0000466A"/>
    <w:rsid w:val="000273AF"/>
    <w:rsid w:val="00033A00"/>
    <w:rsid w:val="000345F2"/>
    <w:rsid w:val="000429E5"/>
    <w:rsid w:val="00063D4F"/>
    <w:rsid w:val="000821E4"/>
    <w:rsid w:val="00096944"/>
    <w:rsid w:val="000A6CAB"/>
    <w:rsid w:val="000D4799"/>
    <w:rsid w:val="000D485A"/>
    <w:rsid w:val="000D6B92"/>
    <w:rsid w:val="000F0076"/>
    <w:rsid w:val="000F19DA"/>
    <w:rsid w:val="00102D79"/>
    <w:rsid w:val="001129D1"/>
    <w:rsid w:val="0011321B"/>
    <w:rsid w:val="001239C4"/>
    <w:rsid w:val="0012610D"/>
    <w:rsid w:val="00140D79"/>
    <w:rsid w:val="00152D74"/>
    <w:rsid w:val="00154791"/>
    <w:rsid w:val="00166E2B"/>
    <w:rsid w:val="0018113A"/>
    <w:rsid w:val="00184BB6"/>
    <w:rsid w:val="001B1074"/>
    <w:rsid w:val="001C7F40"/>
    <w:rsid w:val="001D3D33"/>
    <w:rsid w:val="001E6AE4"/>
    <w:rsid w:val="0020055A"/>
    <w:rsid w:val="00214F84"/>
    <w:rsid w:val="00217979"/>
    <w:rsid w:val="0023433C"/>
    <w:rsid w:val="0024027C"/>
    <w:rsid w:val="00243DF0"/>
    <w:rsid w:val="002460F6"/>
    <w:rsid w:val="00252218"/>
    <w:rsid w:val="002618F4"/>
    <w:rsid w:val="00264AE3"/>
    <w:rsid w:val="002745BA"/>
    <w:rsid w:val="00291289"/>
    <w:rsid w:val="002A22DE"/>
    <w:rsid w:val="002A6D00"/>
    <w:rsid w:val="002C31BC"/>
    <w:rsid w:val="002D64B9"/>
    <w:rsid w:val="002E35A1"/>
    <w:rsid w:val="002F5146"/>
    <w:rsid w:val="00300E91"/>
    <w:rsid w:val="003022A1"/>
    <w:rsid w:val="00302B24"/>
    <w:rsid w:val="003162D0"/>
    <w:rsid w:val="00330DA7"/>
    <w:rsid w:val="00353F8E"/>
    <w:rsid w:val="00354968"/>
    <w:rsid w:val="00363D79"/>
    <w:rsid w:val="00376B3A"/>
    <w:rsid w:val="00384E89"/>
    <w:rsid w:val="003A00F5"/>
    <w:rsid w:val="003A496A"/>
    <w:rsid w:val="003C7ADE"/>
    <w:rsid w:val="003D0FED"/>
    <w:rsid w:val="003D2D37"/>
    <w:rsid w:val="003D5A76"/>
    <w:rsid w:val="003E3D12"/>
    <w:rsid w:val="003E7CB3"/>
    <w:rsid w:val="004166B6"/>
    <w:rsid w:val="00417F55"/>
    <w:rsid w:val="00421AFF"/>
    <w:rsid w:val="004237AF"/>
    <w:rsid w:val="00425E4E"/>
    <w:rsid w:val="0044762E"/>
    <w:rsid w:val="00485AAF"/>
    <w:rsid w:val="004B1599"/>
    <w:rsid w:val="004B58DE"/>
    <w:rsid w:val="004D16A9"/>
    <w:rsid w:val="004E37DF"/>
    <w:rsid w:val="00501EC7"/>
    <w:rsid w:val="00515FA6"/>
    <w:rsid w:val="005178B9"/>
    <w:rsid w:val="0052247D"/>
    <w:rsid w:val="00524ED6"/>
    <w:rsid w:val="00530B34"/>
    <w:rsid w:val="00530C80"/>
    <w:rsid w:val="00532BB9"/>
    <w:rsid w:val="00534D7A"/>
    <w:rsid w:val="00583F09"/>
    <w:rsid w:val="00584739"/>
    <w:rsid w:val="00591A47"/>
    <w:rsid w:val="005A14DD"/>
    <w:rsid w:val="005B453D"/>
    <w:rsid w:val="005E45AE"/>
    <w:rsid w:val="005F0211"/>
    <w:rsid w:val="00610827"/>
    <w:rsid w:val="006333D0"/>
    <w:rsid w:val="00636BDF"/>
    <w:rsid w:val="0065366C"/>
    <w:rsid w:val="006573D1"/>
    <w:rsid w:val="0068041A"/>
    <w:rsid w:val="00684648"/>
    <w:rsid w:val="006B76C3"/>
    <w:rsid w:val="006D4625"/>
    <w:rsid w:val="006D55AB"/>
    <w:rsid w:val="006D5F9D"/>
    <w:rsid w:val="006D61AE"/>
    <w:rsid w:val="006D7F97"/>
    <w:rsid w:val="006E5E31"/>
    <w:rsid w:val="007121A5"/>
    <w:rsid w:val="00715984"/>
    <w:rsid w:val="00716764"/>
    <w:rsid w:val="0074372B"/>
    <w:rsid w:val="007516D3"/>
    <w:rsid w:val="00776784"/>
    <w:rsid w:val="007A3763"/>
    <w:rsid w:val="007B1683"/>
    <w:rsid w:val="007B6895"/>
    <w:rsid w:val="007C4EFF"/>
    <w:rsid w:val="007D2716"/>
    <w:rsid w:val="007D5DA9"/>
    <w:rsid w:val="007F37BE"/>
    <w:rsid w:val="007F4C1F"/>
    <w:rsid w:val="008416C1"/>
    <w:rsid w:val="00841AE9"/>
    <w:rsid w:val="00847625"/>
    <w:rsid w:val="00847A0B"/>
    <w:rsid w:val="00850563"/>
    <w:rsid w:val="00855C5F"/>
    <w:rsid w:val="00867E84"/>
    <w:rsid w:val="008A1E68"/>
    <w:rsid w:val="008A3EAD"/>
    <w:rsid w:val="008A4170"/>
    <w:rsid w:val="008B0863"/>
    <w:rsid w:val="008B28A5"/>
    <w:rsid w:val="008F74E3"/>
    <w:rsid w:val="0090153C"/>
    <w:rsid w:val="00901C74"/>
    <w:rsid w:val="00902D42"/>
    <w:rsid w:val="00903F7C"/>
    <w:rsid w:val="00916B33"/>
    <w:rsid w:val="00925D50"/>
    <w:rsid w:val="00943989"/>
    <w:rsid w:val="00946791"/>
    <w:rsid w:val="00951227"/>
    <w:rsid w:val="009536A3"/>
    <w:rsid w:val="0095554C"/>
    <w:rsid w:val="0095615B"/>
    <w:rsid w:val="00964F7D"/>
    <w:rsid w:val="00967D7E"/>
    <w:rsid w:val="00977E23"/>
    <w:rsid w:val="009830D6"/>
    <w:rsid w:val="009D6BFA"/>
    <w:rsid w:val="00A0202F"/>
    <w:rsid w:val="00A14BA3"/>
    <w:rsid w:val="00A16233"/>
    <w:rsid w:val="00A17D2F"/>
    <w:rsid w:val="00A26124"/>
    <w:rsid w:val="00A26BB2"/>
    <w:rsid w:val="00A36F15"/>
    <w:rsid w:val="00A379E4"/>
    <w:rsid w:val="00A411C3"/>
    <w:rsid w:val="00A4441F"/>
    <w:rsid w:val="00A54C2E"/>
    <w:rsid w:val="00A54F1D"/>
    <w:rsid w:val="00A56168"/>
    <w:rsid w:val="00A82960"/>
    <w:rsid w:val="00A840DA"/>
    <w:rsid w:val="00A872D6"/>
    <w:rsid w:val="00AA1B71"/>
    <w:rsid w:val="00AB2212"/>
    <w:rsid w:val="00AC7AEC"/>
    <w:rsid w:val="00AF0C3D"/>
    <w:rsid w:val="00B03E15"/>
    <w:rsid w:val="00B13D30"/>
    <w:rsid w:val="00B15EB9"/>
    <w:rsid w:val="00B1688D"/>
    <w:rsid w:val="00B26913"/>
    <w:rsid w:val="00B34A0E"/>
    <w:rsid w:val="00B40FBB"/>
    <w:rsid w:val="00B5442A"/>
    <w:rsid w:val="00B8168C"/>
    <w:rsid w:val="00BB6678"/>
    <w:rsid w:val="00BC533E"/>
    <w:rsid w:val="00BC6939"/>
    <w:rsid w:val="00BE0CF1"/>
    <w:rsid w:val="00BE3469"/>
    <w:rsid w:val="00BF26FC"/>
    <w:rsid w:val="00C252F6"/>
    <w:rsid w:val="00C40345"/>
    <w:rsid w:val="00C5410C"/>
    <w:rsid w:val="00C56DF6"/>
    <w:rsid w:val="00C755C6"/>
    <w:rsid w:val="00C80DDE"/>
    <w:rsid w:val="00C86D47"/>
    <w:rsid w:val="00CC3E20"/>
    <w:rsid w:val="00CD4785"/>
    <w:rsid w:val="00CF3257"/>
    <w:rsid w:val="00CF6A40"/>
    <w:rsid w:val="00D00AC0"/>
    <w:rsid w:val="00D1242C"/>
    <w:rsid w:val="00D2023C"/>
    <w:rsid w:val="00D37335"/>
    <w:rsid w:val="00D439A0"/>
    <w:rsid w:val="00D47746"/>
    <w:rsid w:val="00D47A72"/>
    <w:rsid w:val="00D505F6"/>
    <w:rsid w:val="00D53FBC"/>
    <w:rsid w:val="00D80D90"/>
    <w:rsid w:val="00DB0153"/>
    <w:rsid w:val="00DD7C4E"/>
    <w:rsid w:val="00DE159D"/>
    <w:rsid w:val="00DF1C33"/>
    <w:rsid w:val="00DF2249"/>
    <w:rsid w:val="00DF29DC"/>
    <w:rsid w:val="00DF54D6"/>
    <w:rsid w:val="00E00560"/>
    <w:rsid w:val="00E05F48"/>
    <w:rsid w:val="00E11FBB"/>
    <w:rsid w:val="00E5377D"/>
    <w:rsid w:val="00E550A7"/>
    <w:rsid w:val="00ED1B72"/>
    <w:rsid w:val="00ED3391"/>
    <w:rsid w:val="00EF015D"/>
    <w:rsid w:val="00F071D5"/>
    <w:rsid w:val="00F136DE"/>
    <w:rsid w:val="00F17872"/>
    <w:rsid w:val="00F32407"/>
    <w:rsid w:val="00F47125"/>
    <w:rsid w:val="00F635E7"/>
    <w:rsid w:val="00F66480"/>
    <w:rsid w:val="00F67933"/>
    <w:rsid w:val="00F7568A"/>
    <w:rsid w:val="00F90AE7"/>
    <w:rsid w:val="00F97F96"/>
    <w:rsid w:val="00FA7B23"/>
    <w:rsid w:val="00FB112F"/>
    <w:rsid w:val="00FB1B6D"/>
    <w:rsid w:val="00FB783E"/>
    <w:rsid w:val="00FD7FE9"/>
    <w:rsid w:val="00FE0B34"/>
    <w:rsid w:val="00FE27F4"/>
    <w:rsid w:val="00FF1A54"/>
    <w:rsid w:val="00FF6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99"/>
    <w:rPr>
      <w:rFonts w:ascii="MAC C Times" w:eastAsia="Times New Roman" w:hAnsi="MAC C Times"/>
      <w:sz w:val="24"/>
      <w:szCs w:val="24"/>
    </w:rPr>
  </w:style>
  <w:style w:type="paragraph" w:styleId="Heading1">
    <w:name w:val="heading 1"/>
    <w:basedOn w:val="Normal"/>
    <w:next w:val="Normal"/>
    <w:link w:val="Heading1Char"/>
    <w:qFormat/>
    <w:rsid w:val="00501EC7"/>
    <w:pPr>
      <w:keepNext/>
      <w:spacing w:before="240" w:after="60" w:line="360" w:lineRule="auto"/>
      <w:outlineLvl w:val="0"/>
    </w:pPr>
    <w:rPr>
      <w:b/>
      <w:kern w:val="28"/>
      <w:sz w:val="28"/>
    </w:rPr>
  </w:style>
  <w:style w:type="paragraph" w:styleId="Heading2">
    <w:name w:val="heading 2"/>
    <w:basedOn w:val="Normal"/>
    <w:next w:val="Normal"/>
    <w:link w:val="Heading2Char"/>
    <w:qFormat/>
    <w:rsid w:val="00501EC7"/>
    <w:pPr>
      <w:keepNext/>
      <w:spacing w:before="240" w:after="60" w:line="360" w:lineRule="auto"/>
      <w:outlineLvl w:val="1"/>
    </w:pPr>
    <w:rPr>
      <w:b/>
    </w:rPr>
  </w:style>
  <w:style w:type="paragraph" w:styleId="Heading3">
    <w:name w:val="heading 3"/>
    <w:basedOn w:val="Normal"/>
    <w:next w:val="Normal"/>
    <w:link w:val="Heading3Char"/>
    <w:qFormat/>
    <w:rsid w:val="00501EC7"/>
    <w:pPr>
      <w:keepNext/>
      <w:spacing w:before="240" w:after="60" w:line="360" w:lineRule="auto"/>
      <w:outlineLvl w:val="2"/>
    </w:pPr>
    <w:rPr>
      <w:b/>
    </w:rPr>
  </w:style>
  <w:style w:type="paragraph" w:styleId="Heading4">
    <w:name w:val="heading 4"/>
    <w:basedOn w:val="Normal"/>
    <w:next w:val="Normal"/>
    <w:link w:val="Heading4Char"/>
    <w:qFormat/>
    <w:rsid w:val="00501EC7"/>
    <w:pPr>
      <w:keepNext/>
      <w:spacing w:before="240" w:after="60" w:line="360" w:lineRule="auto"/>
      <w:ind w:left="425"/>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EC7"/>
    <w:rPr>
      <w:rFonts w:eastAsia="Batang"/>
      <w:b/>
      <w:kern w:val="28"/>
      <w:sz w:val="28"/>
      <w:szCs w:val="24"/>
      <w:lang w:eastAsia="ko-KR"/>
    </w:rPr>
  </w:style>
  <w:style w:type="character" w:customStyle="1" w:styleId="Heading2Char">
    <w:name w:val="Heading 2 Char"/>
    <w:basedOn w:val="DefaultParagraphFont"/>
    <w:link w:val="Heading2"/>
    <w:rsid w:val="00501EC7"/>
    <w:rPr>
      <w:rFonts w:eastAsia="Batang"/>
      <w:b/>
      <w:sz w:val="24"/>
      <w:szCs w:val="24"/>
      <w:lang w:eastAsia="ko-KR"/>
    </w:rPr>
  </w:style>
  <w:style w:type="character" w:customStyle="1" w:styleId="Heading3Char">
    <w:name w:val="Heading 3 Char"/>
    <w:basedOn w:val="DefaultParagraphFont"/>
    <w:link w:val="Heading3"/>
    <w:rsid w:val="00501EC7"/>
    <w:rPr>
      <w:rFonts w:eastAsia="Batang"/>
      <w:b/>
      <w:sz w:val="24"/>
      <w:szCs w:val="24"/>
      <w:lang w:eastAsia="ko-KR"/>
    </w:rPr>
  </w:style>
  <w:style w:type="character" w:customStyle="1" w:styleId="Heading4Char">
    <w:name w:val="Heading 4 Char"/>
    <w:basedOn w:val="DefaultParagraphFont"/>
    <w:link w:val="Heading4"/>
    <w:rsid w:val="00501EC7"/>
    <w:rPr>
      <w:rFonts w:eastAsia="Batang"/>
      <w:b/>
      <w:sz w:val="24"/>
      <w:szCs w:val="24"/>
      <w:lang w:eastAsia="ko-KR"/>
    </w:rPr>
  </w:style>
  <w:style w:type="paragraph" w:styleId="ListParagraph">
    <w:name w:val="List Paragraph"/>
    <w:basedOn w:val="Normal"/>
    <w:uiPriority w:val="34"/>
    <w:qFormat/>
    <w:rsid w:val="00501EC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Topuzovska</dc:creator>
  <cp:lastModifiedBy>Gabriela Topuzovska</cp:lastModifiedBy>
  <cp:revision>1</cp:revision>
  <dcterms:created xsi:type="dcterms:W3CDTF">2013-05-21T10:33:00Z</dcterms:created>
  <dcterms:modified xsi:type="dcterms:W3CDTF">2013-05-21T10:34:00Z</dcterms:modified>
</cp:coreProperties>
</file>